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岳阳市农业农村局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both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（盖章）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岳阳市农业农村局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黑体" w:cs="Times New Roman"/>
          <w:sz w:val="32"/>
          <w:szCs w:val="32"/>
        </w:rPr>
        <w:t>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根据《中共岳阳市委办公室、岳阳市人民政府办公室关于印发&lt;岳阳市农业农村局职能配置、内设机构和人员编制规定&gt;的通知》（岳办〔2019〕53号），岳阳市农业农村局是市人民政府工作部门，为正处级。市委农村工作领导小组办公室设在市农业农村局。核定市农业农村局机关编制75名。202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年末，我局机关实有人员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336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人，其中在职人员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106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人、离休人员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人、退休人员22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内设科室分别是办公室（行政审批办公室）、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政策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改革科、法规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科、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发展规划科、计划财务科、乡村振兴工作办公室、乡村产业发展科、农村社会事业促进科、农村合作经济指导科、市场信息与对外交流科、科技教育科（市农业转基因生物安全管理办公室）、农业资源保护与利用科、农产品质量安全监管科、种植业管理科（农药管理科）、畜牧兽医科、渔业渔政管理科、种业管理科、农业机械化管理科、农田建设与农垦科、人事科、机关党委（纪委）、离退休人员管理服务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主要工作职能包括：统筹研究和组织实施“三农”工作的发展中长期规划、重大政策。统筹推进发展农村社会事业、农村公共服务、农村文化、农村基础设施和乡村治理。贯彻执行国家、省关于深化农村经济体制改革和巩固完善农村基本经营制度的政策。指导乡村特色产业、农产品加工业、休闲农业和乡镇企业发展工作。负责种植业、畜牧业、渔业、农垦、农业机械化等农业各产业的监督管理。负责农产品质量安全监督管理。组织农业资源区划工作。负责有关农业生产资料和农业投入品的监督管理。负责农业防灾减灾、农作物重大病虫害防治工作。负责农业投资管理。推动农业科技体制改革和农业科技创新体系建设。指导农业农村人才工作。组织参与农业对外合作工作。完成市委、市政府和市委农村工作领导小组交办的其他任务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二、一般公共预算支出情况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2022年基本支出本年收入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3553.01万元，上年结转结余2.53万元，全年收入为3555.54万元。基本支出数为3555.54万元（含人员经费3153.86万元，公用经费401.68万元），其中：工资福利支出2198.01万元，商品和服务支出401.67万元，对个人和家庭的补助955.86万元，年末结转结余0万元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项目支出情况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2022年项目支出本年收入为1373.2万元，上年结转结余30万元，全年收入1403.2万元。项目支出数1398万元，其中工资福利支出11.84万元，商品和服务支出839.18万元，对个人和家庭的补助315.15万元，资本性支出23.13万元，对企业的补助208.7万元，年末结转结余5.20万元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政府性基金预算支出情况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2022年无政府性基金预算。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国有资本经营预算支出情况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2022年无国有资本经营预算。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社会保险基金预算支出情况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2022年无社会保险基金预算。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2022年，我局根据中央、省、市重点任务目标</w:t>
      </w: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，年度工作计划等要求，认真履行职责，较好完成了年初确定的各项工作任务。根据《部门整体支出绩效自评表》部门整体支出绩效为“优”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（一）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严格预算支出管理。</w:t>
      </w:r>
      <w:bookmarkStart w:id="0" w:name="_GoBack"/>
      <w:bookmarkEnd w:id="0"/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在支出预算编制上，人员经费按照配置定额，逐人核定编制，公用经费分类分档，按定额编制；根据“总量控制、计划管理”的要求从严控制行政经费，压缩公务费开支，严格控制“三公”经费，资产的配置严格政府采购，按照预算科目和项目资金的规定使用财政资金，保障部门整体支出的规范化、制度化。</w:t>
      </w:r>
    </w:p>
    <w:p>
      <w:pPr>
        <w:pStyle w:val="4"/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（二）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财务管理按制度运行。按照国家法律法规，制定了机关财务、资产配置使用、接待、会务、因公出差、车辆使用等内部控制制度，并按照制度管理和执行，防范风险，保证财政资金的安全和高效运行。</w:t>
      </w:r>
    </w:p>
    <w:p>
      <w:pPr>
        <w:pStyle w:val="4"/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（三）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各项中心工作和政府重点工作全面完成</w:t>
      </w:r>
    </w:p>
    <w:p>
      <w:pP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 xml:space="preserve">    1.全力抗旱减灾，实现稳产保供。坚决扛牢粮食安全政治责任，积极应对罕见旱情，统筹落实抗旱举措、集聚各方资源，努力赢得粮食丰收主动权。全市新建高标准农田41.3万亩，共完成粮食播种面积724.4万亩，其中早稻面积、单产、产量实现“三增”，为全省唯一市州，获评全省粮食生产先进市。畜禽、蔬菜、水产品等“菜篮子”农产品供应充足。</w:t>
      </w:r>
    </w:p>
    <w:p>
      <w:pPr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2.发展乡村产业，促进农民增收。全市农村居民人均可支配收入21660元、同比增长7.4％。成功创建国家级特色产业集群2个、国家级产业强镇1个、中国美丽休闲乡村1个、省千亿产业标杆龙头企业2家、省级示范合作社25家、示范家庭农场41家，全市农产品加工业总产值2279.8亿元、增长10.5%（其中食品加工业1696.7亿元、增长11.8%）。全力推动芥菜产业高质量发展，制定全产业链技术规程，取缔土窖8713口，建设标准腌制池2380口，华容芥菜产业园获评国家农村产业融合发展示范园。《岳阳市农产品加工业发展现状与对策研究》调研报告，获得李挚市长肯定批示。岳阳县丰瑞农机专业合作社理事长董敏芳当选党的二十大代表。</w:t>
      </w:r>
    </w:p>
    <w:p>
      <w:pPr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3.承办省市节会，展现三农风采。圆满承办了全省春耕生产暨耕地抛荒专项治理现场会、全省大豆玉米带状复合种植田间培管工作推进会、全省农村创业创新项目创意大赛决赛、中国中部（湖南）农业博览会“大美湖区 垄上岳阳”专题馆、全市水利、农业农村、乡村振兴重大项目建设现场推进会、中国·岳阳“洞庭渔火季”优质农产品展示展销会等重大涉农活动，充分展现了全市农业农村系统的崭新业绩和担当作为，获得了省、市领导和社会各界的一致好评。</w:t>
      </w:r>
    </w:p>
    <w:p>
      <w:pPr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4.落实重点项目，增添发展动能。全口径争取到位涉农资金22.8亿元、居全市前列。屈原管理区获评国家农业现代化示范区，湘阴县、岳阳县获批全国农产品产地冷藏保鲜设施建设整县推进试点，华容县、平江县获评第二批全国农作物病虫害绿色防控整建制推进县。岳麓山种业创新中心（洞庭湖）区域中心、洞庭（食品工程与安全）实验室、湖南优质鱼类育种及生态健康养殖研究院等重大项目成功落户岳阳。长江江豚迁移通道修复项目特许经营权成功拍卖，上缴市财政4亿元；局系统“三资”运作改革，盘活闲置资产1.1亿元。</w:t>
      </w:r>
    </w:p>
    <w:p>
      <w:pPr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5.狠抓示范创建，形成复制模式。岳阳市获评全省农村人居环境整治先进市，汨罗市获评首批国家乡村振兴示范创建县。全市第一批15个乡村振兴示范村（片）创建取得初步成效，累计投入建设资金1.06亿元，带动其他项目投入2.75亿元，集中力量打造既全面领先又各具特色的乡村振兴示范村（片），形成多种典型经验和模式，为“百县千乡万村”乡村振兴示范创建打下坚实基础。</w:t>
      </w:r>
    </w:p>
    <w:p>
      <w:pPr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6.深化农村改革，助推乡村振兴。汨罗市高丰村“小田变大田、低产变丰产”经验全国推介。平江县入选国家农村综合性改革试点试验县。依托岳农集团，加快构建市、县、乡、村四级农村产权流转交易市场体系。聚焦村级集体经济发展壮大，实现全市374个收入5万元以下的“薄弱村”全面清零。完善农村集体“三资”监管长效机制，进一步巩固农村集体产权制度改革成果。</w:t>
      </w:r>
    </w:p>
    <w:p>
      <w:pPr>
        <w:ind w:firstLine="560" w:firstLineChars="200"/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7.奋力争先创优，激励满枝硕果。市本级打造优势特色千亿产业、落实粮食安全责任制获评省政府真抓实干激励表扬，岳阳县落实长江禁渔、湘阴县开展农村人居环境整治、汨罗市推进高标准农田建设、华容县落实粮食安全责任制分别获得省政府激励表扬，实现了“市2+县4”的历史最好成绩。</w:t>
      </w:r>
    </w:p>
    <w:p>
      <w:pPr>
        <w:ind w:firstLine="560" w:firstLineChars="200"/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8.坚持安全发展，牢牢守住底线。统筹抓好农业面源污染防治、长江“十年禁渔”、遏制新增农村乱占耕地建住宅、安全生产、信访维稳、疫情防控等底线工作，确保农业农村安全发展。部、省共建共管的岳阳市洞庭湖水上联合执法基地（飘尾）指挥中心已投入使用，禁捕退捕工作得到人民日报、新华社、中央广电总台等主流媒体多次正面宣传报道，并在全省渔业高质量发展推进会上作典型发言。协助农业农村部开展2022年洞庭湖江豚科学考察活动。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default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default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预算编制有待更严格执行，预算编制与实际支出项目有的存在差异，专项支出有待进一步加强。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下一步改进措施</w:t>
      </w:r>
    </w:p>
    <w:p>
      <w:pPr>
        <w:pStyle w:val="2"/>
        <w:numPr>
          <w:ilvl w:val="0"/>
          <w:numId w:val="0"/>
        </w:numPr>
        <w:ind w:firstLine="560" w:firstLineChars="200"/>
        <w:rPr>
          <w:rFonts w:hint="default"/>
        </w:rPr>
      </w:pPr>
      <w:r>
        <w:rPr>
          <w:rFonts w:hint="default" w:ascii="宋体" w:hAnsi="宋体" w:cs="宋体"/>
          <w:b w:val="0"/>
          <w:bCs w:val="0"/>
          <w:kern w:val="0"/>
          <w:sz w:val="28"/>
          <w:szCs w:val="28"/>
          <w:lang w:val="en-US" w:eastAsia="zh-CN" w:bidi="ar-SA"/>
        </w:rPr>
        <w:t>对今后的工作，一是按照预算规定的项目和用途严格财务审计，经费支出严格按预算规定项目的财务支出内容进行财务预算，在预算金额内严格控制费用的支出。二是进一步细化“三公”经费管理，杜绝挪用和挤占其他预算资金。三是预算财务分析常态化，定期做好预算支出财务分析，做好部门整体支出预算评价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九、部门整体支出绩效自评结果拟应用和公开情况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报告需要以下附件：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项目支出绩效自评表（一个一级项目支出一张表）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政府性基金预算支出情况表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国有资本经营预算支出情况表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社会保险基金预算支出情况表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1B97D"/>
    <w:multiLevelType w:val="singleLevel"/>
    <w:tmpl w:val="0F41B97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28E058"/>
    <w:multiLevelType w:val="singleLevel"/>
    <w:tmpl w:val="2428E05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6540D07"/>
    <w:multiLevelType w:val="singleLevel"/>
    <w:tmpl w:val="66540D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C5005"/>
    <w:rsid w:val="02B70580"/>
    <w:rsid w:val="053C5005"/>
    <w:rsid w:val="174E77A0"/>
    <w:rsid w:val="1B4B06D5"/>
    <w:rsid w:val="1BC2741A"/>
    <w:rsid w:val="1E1021C0"/>
    <w:rsid w:val="1E1F7BD1"/>
    <w:rsid w:val="252A5FC8"/>
    <w:rsid w:val="25A2704B"/>
    <w:rsid w:val="27F4659B"/>
    <w:rsid w:val="2E835E5F"/>
    <w:rsid w:val="314B114B"/>
    <w:rsid w:val="3B3E44A0"/>
    <w:rsid w:val="3C8105C7"/>
    <w:rsid w:val="3E29401B"/>
    <w:rsid w:val="3F843929"/>
    <w:rsid w:val="419A3831"/>
    <w:rsid w:val="429F2E1F"/>
    <w:rsid w:val="45AB7FDC"/>
    <w:rsid w:val="48BA78DE"/>
    <w:rsid w:val="507A5B34"/>
    <w:rsid w:val="50921617"/>
    <w:rsid w:val="59C57D92"/>
    <w:rsid w:val="5ABA3CE7"/>
    <w:rsid w:val="5F5A6E8A"/>
    <w:rsid w:val="62241957"/>
    <w:rsid w:val="68CB7E7A"/>
    <w:rsid w:val="6B2F50E5"/>
    <w:rsid w:val="760C19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jc w:val="center"/>
      <w:outlineLvl w:val="1"/>
    </w:pPr>
    <w:rPr>
      <w:rFonts w:eastAsia="楷体_GB2312"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next w:val="1"/>
    <w:qFormat/>
    <w:uiPriority w:val="0"/>
    <w:pPr>
      <w:spacing w:after="120"/>
      <w:ind w:left="420" w:left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9">
    <w:name w:val="NormalCharacter"/>
    <w:basedOn w:val="7"/>
    <w:link w:val="10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0">
    <w:name w:val="UserStyle_1"/>
    <w:basedOn w:val="1"/>
    <w:link w:val="9"/>
    <w:qFormat/>
    <w:uiPriority w:val="0"/>
    <w:pPr>
      <w:tabs>
        <w:tab w:val="left" w:pos="4665"/>
        <w:tab w:val="left" w:pos="8970"/>
      </w:tabs>
      <w:ind w:firstLine="400"/>
      <w:textAlignment w:val="baseline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2023-05-25T07:33:00Z</dcterms:created>
  <dc:creator>贵琳</dc:creator>
  <cp:lastModifiedBy>贵琳</cp:lastModifiedBy>
  <dcterms:modified xsi:type="dcterms:W3CDTF">2023-07-18T03:24:00Z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A49162B583EF4C9C82131FD3F7B8660E</vt:lpwstr>
  </property>
</Properties>
</file>